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9" w:beforeLines="150" w:after="469" w:afterLines="150"/>
        <w:jc w:val="center"/>
        <w:textAlignment w:val="auto"/>
        <w:rPr>
          <w:rFonts w:hint="eastAsia" w:ascii="Heiti SC Light" w:hAnsi="Heiti SC Light" w:eastAsia="Heiti SC Light" w:cs="Heiti SC Light"/>
          <w:bCs/>
          <w:sz w:val="40"/>
          <w:szCs w:val="40"/>
        </w:rPr>
      </w:pPr>
      <w:r>
        <w:rPr>
          <w:rFonts w:hint="eastAsia" w:ascii="Heiti SC Light" w:hAnsi="Heiti SC Light" w:eastAsia="Heiti SC Light" w:cs="Heiti SC Light"/>
          <w:bCs/>
          <w:sz w:val="40"/>
          <w:szCs w:val="40"/>
        </w:rPr>
        <w:t>第五届(202</w:t>
      </w:r>
      <w:r>
        <w:rPr>
          <w:rFonts w:ascii="Heiti SC Light" w:hAnsi="Heiti SC Light" w:eastAsia="Heiti SC Light" w:cs="Heiti SC Light"/>
          <w:bCs/>
          <w:sz w:val="40"/>
          <w:szCs w:val="40"/>
        </w:rPr>
        <w:t>2</w:t>
      </w:r>
      <w:r>
        <w:rPr>
          <w:rFonts w:hint="eastAsia" w:ascii="Heiti SC Light" w:hAnsi="Heiti SC Light" w:eastAsia="Heiti SC Light" w:cs="Heiti SC Light"/>
          <w:bCs/>
          <w:sz w:val="40"/>
          <w:szCs w:val="40"/>
        </w:rPr>
        <w:t>)</w:t>
      </w:r>
      <w:r>
        <w:rPr>
          <w:rFonts w:hint="eastAsia" w:ascii="Calibri" w:hAnsi="Calibri" w:eastAsia="宋体" w:cs="Times New Roman"/>
          <w:sz w:val="20"/>
          <w:szCs w:val="21"/>
        </w:rPr>
        <w:t xml:space="preserve"> </w:t>
      </w:r>
      <w:r>
        <w:rPr>
          <w:rFonts w:hint="eastAsia" w:ascii="Heiti SC Light" w:hAnsi="Heiti SC Light" w:eastAsia="Heiti SC Light" w:cs="Heiti SC Light"/>
          <w:bCs/>
          <w:sz w:val="40"/>
          <w:szCs w:val="40"/>
        </w:rPr>
        <w:t>营商环境高质量发展特色评选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420" w:leftChars="0" w:hanging="420" w:firstLineChars="0"/>
        <w:jc w:val="both"/>
        <w:textAlignment w:val="auto"/>
        <w:rPr>
          <w:rFonts w:hint="eastAsia" w:ascii="Heiti SC Light" w:hAnsi="Heiti SC Light" w:eastAsia="Heiti SC Light" w:cs="Heiti SC Light"/>
          <w:bCs/>
          <w:sz w:val="40"/>
          <w:szCs w:val="40"/>
        </w:rPr>
      </w:pPr>
      <w:r>
        <w:rPr>
          <w:rFonts w:hint="eastAsia" w:ascii="Heiti SC Light" w:hAnsi="Heiti SC Light" w:eastAsia="Heiti SC Light" w:cs="Heiti SC Light"/>
          <w:b/>
          <w:bCs w:val="0"/>
          <w:sz w:val="32"/>
          <w:szCs w:val="32"/>
          <w:lang w:val="en-US" w:eastAsia="zh-CN"/>
        </w:rPr>
        <w:t>评选报名表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463"/>
        <w:gridCol w:w="1450"/>
        <w:gridCol w:w="1870"/>
        <w:gridCol w:w="1190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2022智慧中国年会配套活动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营商环境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特色案例评选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参评城市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报名单位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联系人职位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   箱</w:t>
            </w:r>
          </w:p>
        </w:tc>
        <w:tc>
          <w:tcPr>
            <w:tcW w:w="71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需求描述</w:t>
            </w:r>
          </w:p>
        </w:tc>
        <w:tc>
          <w:tcPr>
            <w:tcW w:w="71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val="en-US" w:eastAsia="zh-CN"/>
              </w:rPr>
              <w:t>营商环境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参评报名咨询方式：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联系人：付晓雯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  话：18332567261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邮  箱：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instrText xml:space="preserve"> HYPERLINK "mailto:934554023@qq.com"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</w:rPr>
              <w:t>934554023@qq.com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snapToGrid w:val="0"/>
        <w:spacing w:line="520" w:lineRule="exact"/>
        <w:ind w:firstLine="560" w:firstLineChars="200"/>
        <w:jc w:val="both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ind w:left="420" w:leftChars="0" w:hanging="420" w:firstLineChars="0"/>
        <w:jc w:val="both"/>
        <w:textAlignment w:val="auto"/>
        <w:rPr>
          <w:rFonts w:hint="eastAsia" w:ascii="Heiti SC Light" w:hAnsi="Heiti SC Light" w:eastAsia="Heiti SC Light" w:cs="Heiti SC Light"/>
          <w:b/>
          <w:bCs w:val="0"/>
          <w:sz w:val="32"/>
          <w:szCs w:val="32"/>
          <w:lang w:val="en-US" w:eastAsia="zh-CN"/>
        </w:rPr>
      </w:pPr>
      <w:r>
        <w:rPr>
          <w:rFonts w:hint="eastAsia" w:ascii="Heiti SC Light" w:hAnsi="Heiti SC Light" w:eastAsia="Heiti SC Light" w:cs="Heiti SC Light"/>
          <w:b/>
          <w:bCs w:val="0"/>
          <w:sz w:val="32"/>
          <w:szCs w:val="32"/>
          <w:lang w:val="en-US" w:eastAsia="zh-CN"/>
        </w:rPr>
        <w:t>特色案例申报模板</w:t>
      </w:r>
    </w:p>
    <w:p>
      <w:pPr>
        <w:widowControl w:val="0"/>
        <w:ind w:firstLine="0" w:firstLineChars="0"/>
        <w:jc w:val="both"/>
        <w:outlineLvl w:val="1"/>
        <w:rPr>
          <w:rFonts w:ascii="宋体" w:hAnsi="宋体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="宋体" w:hAnsi="宋体" w:eastAsia="宋体" w:cs="Times New Roman"/>
          <w:b/>
          <w:bCs/>
          <w:kern w:val="2"/>
          <w:sz w:val="28"/>
          <w:szCs w:val="28"/>
          <w:lang w:val="en-US" w:eastAsia="zh-Hans" w:bidi="ar-SA"/>
        </w:rPr>
        <w:t>活动说明</w:t>
      </w:r>
      <w:r>
        <w:rPr>
          <w:rFonts w:hint="eastAsia" w:ascii="宋体" w:hAnsi="宋体" w:eastAsia="宋体" w:cs="Times New Roman"/>
          <w:b/>
          <w:bCs/>
          <w:kern w:val="2"/>
          <w:sz w:val="28"/>
          <w:szCs w:val="28"/>
          <w:lang w:val="en-US" w:eastAsia="zh-CN" w:bidi="ar-SA"/>
        </w:rPr>
        <w:t>：</w:t>
      </w:r>
    </w:p>
    <w:p>
      <w:pPr>
        <w:widowControl w:val="0"/>
        <w:snapToGrid w:val="0"/>
        <w:spacing w:line="520" w:lineRule="exact"/>
        <w:ind w:firstLine="560" w:firstLineChars="200"/>
        <w:jc w:val="both"/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1、活动范围：在全国范围内进行评选，包括全国省级、地市、区县等营商环境改革领域的各级单位。</w:t>
      </w:r>
    </w:p>
    <w:p>
      <w:pPr>
        <w:widowControl w:val="0"/>
        <w:snapToGrid w:val="0"/>
        <w:spacing w:line="520" w:lineRule="exact"/>
        <w:ind w:firstLine="560" w:firstLineChars="200"/>
        <w:jc w:val="both"/>
        <w:rPr>
          <w:rFonts w:ascii="宋体" w:hAnsi="宋体" w:eastAsia="宋体" w:cs="Times New Roman"/>
          <w:kern w:val="2"/>
          <w:sz w:val="28"/>
          <w:szCs w:val="28"/>
          <w:lang w:val="en-US" w:eastAsia="zh-Hans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2、评选体系：基于《第五届（2022）营商环境高质量发展特色案例评选指标体系》（指标体系附后），从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Hans" w:bidi="ar-SA"/>
        </w:rPr>
        <w:t>高度-改革高效化、广度-建设协同化、深度-区域特色化、温度-政商和谐化、力度-风险可控化等五个方面评选出“营商环境高质量发展”50家优秀案例。</w:t>
      </w:r>
    </w:p>
    <w:p>
      <w:pPr>
        <w:widowControl w:val="0"/>
        <w:snapToGrid w:val="0"/>
        <w:spacing w:line="520" w:lineRule="exact"/>
        <w:ind w:firstLine="560" w:firstLineChars="200"/>
        <w:jc w:val="both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3、评选要求：内容真实、做法新颖、有借鉴价值。切勿复制工作总结、工作汇报等材料。</w:t>
      </w:r>
    </w:p>
    <w:p>
      <w:pPr>
        <w:widowControl w:val="0"/>
        <w:ind w:firstLine="0" w:firstLineChars="0"/>
        <w:jc w:val="both"/>
        <w:outlineLvl w:val="1"/>
        <w:rPr>
          <w:rFonts w:ascii="宋体" w:hAnsi="宋体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8"/>
          <w:szCs w:val="28"/>
          <w:lang w:val="en-US" w:eastAsia="zh-CN" w:bidi="ar-SA"/>
        </w:rPr>
        <w:t>二、</w:t>
      </w:r>
      <w:r>
        <w:rPr>
          <w:rFonts w:hint="eastAsia" w:ascii="宋体" w:hAnsi="宋体" w:eastAsia="宋体" w:cs="Times New Roman"/>
          <w:b/>
          <w:bCs/>
          <w:kern w:val="2"/>
          <w:sz w:val="28"/>
          <w:szCs w:val="28"/>
          <w:lang w:val="en-US" w:eastAsia="zh-Hans" w:bidi="ar-SA"/>
        </w:rPr>
        <w:t>案例说明</w:t>
      </w:r>
      <w:r>
        <w:rPr>
          <w:rFonts w:hint="eastAsia" w:ascii="宋体" w:hAnsi="宋体" w:eastAsia="宋体" w:cs="Times New Roman"/>
          <w:b/>
          <w:bCs/>
          <w:kern w:val="2"/>
          <w:sz w:val="28"/>
          <w:szCs w:val="28"/>
          <w:lang w:val="en-US" w:eastAsia="zh-CN" w:bidi="ar-SA"/>
        </w:rPr>
        <w:t>：</w:t>
      </w:r>
    </w:p>
    <w:p>
      <w:pPr>
        <w:widowControl w:val="0"/>
        <w:snapToGrid w:val="0"/>
        <w:spacing w:line="520" w:lineRule="exact"/>
        <w:ind w:firstLine="560" w:firstLineChars="200"/>
        <w:jc w:val="both"/>
        <w:rPr>
          <w:rFonts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Hans" w:bidi="ar-SA"/>
        </w:rPr>
        <w:t>案例名称</w:t>
      </w:r>
      <w:r>
        <w:rPr>
          <w:rFonts w:hint="eastAsia"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  <w:t>：请填写评选案例详细名称</w:t>
      </w:r>
    </w:p>
    <w:p>
      <w:pPr>
        <w:widowControl w:val="0"/>
        <w:snapToGrid w:val="0"/>
        <w:spacing w:line="520" w:lineRule="exact"/>
        <w:ind w:firstLine="560" w:firstLineChars="200"/>
        <w:jc w:val="both"/>
        <w:rPr>
          <w:rFonts w:hint="eastAsia"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评选领域：</w:t>
      </w:r>
      <w:r>
        <w:rPr>
          <w:rFonts w:hint="eastAsia"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  <w:t>参照评选指标，选择参评案例所对应的评选领域</w:t>
      </w:r>
    </w:p>
    <w:p>
      <w:pPr>
        <w:widowControl w:val="0"/>
        <w:snapToGrid w:val="0"/>
        <w:spacing w:line="520" w:lineRule="exact"/>
        <w:ind w:firstLine="560" w:firstLineChars="200"/>
        <w:jc w:val="both"/>
        <w:rPr>
          <w:rFonts w:hint="eastAsia"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参选单位名称（全称）</w:t>
      </w:r>
      <w:r>
        <w:rPr>
          <w:rFonts w:hint="eastAsia"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  <w:t>：</w:t>
      </w:r>
    </w:p>
    <w:p>
      <w:pPr>
        <w:widowControl w:val="0"/>
        <w:snapToGrid w:val="0"/>
        <w:spacing w:line="520" w:lineRule="exact"/>
        <w:ind w:firstLine="560" w:firstLineChars="200"/>
        <w:jc w:val="both"/>
        <w:rPr>
          <w:rFonts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联系人</w:t>
      </w:r>
      <w:r>
        <w:rPr>
          <w:rFonts w:hint="eastAsia"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  <w:t>：</w:t>
      </w:r>
    </w:p>
    <w:p>
      <w:pPr>
        <w:widowControl w:val="0"/>
        <w:snapToGrid w:val="0"/>
        <w:spacing w:line="520" w:lineRule="exact"/>
        <w:ind w:firstLine="560" w:firstLineChars="200"/>
        <w:jc w:val="both"/>
        <w:rPr>
          <w:rFonts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联系方式</w:t>
      </w:r>
      <w:r>
        <w:rPr>
          <w:rFonts w:hint="eastAsia"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  <w:t>：</w:t>
      </w:r>
    </w:p>
    <w:p>
      <w:pPr>
        <w:widowControl w:val="0"/>
        <w:ind w:firstLine="0" w:firstLineChars="0"/>
        <w:jc w:val="both"/>
        <w:outlineLvl w:val="1"/>
        <w:rPr>
          <w:rFonts w:ascii="宋体" w:hAnsi="宋体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8"/>
          <w:szCs w:val="28"/>
          <w:lang w:val="en-US" w:eastAsia="zh-CN" w:bidi="ar-SA"/>
        </w:rPr>
        <w:t>三、案例概述：</w:t>
      </w:r>
    </w:p>
    <w:p>
      <w:pPr>
        <w:widowControl w:val="0"/>
        <w:snapToGrid w:val="0"/>
        <w:spacing w:line="520" w:lineRule="exact"/>
        <w:ind w:firstLine="560" w:firstLineChars="200"/>
        <w:jc w:val="both"/>
        <w:rPr>
          <w:rFonts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  <w:t>说明：200字左右，阐述推出该项目的背景、主要解决行业哪些痛点、具备哪些突出的特点以及最终的目标等。“优秀案例”描述要求清晰准确，根据评估体系“五化”有针对性进行描述，便于后期案例评选。</w:t>
      </w:r>
    </w:p>
    <w:p>
      <w:pPr>
        <w:widowControl w:val="0"/>
        <w:ind w:firstLine="0" w:firstLineChars="0"/>
        <w:jc w:val="both"/>
        <w:outlineLvl w:val="1"/>
        <w:rPr>
          <w:rFonts w:ascii="宋体" w:hAnsi="宋体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8"/>
          <w:szCs w:val="28"/>
          <w:lang w:val="en-US" w:eastAsia="zh-CN" w:bidi="ar-SA"/>
        </w:rPr>
        <w:t>四、创新亮点：</w:t>
      </w:r>
    </w:p>
    <w:p>
      <w:pPr>
        <w:widowControl w:val="0"/>
        <w:snapToGrid w:val="0"/>
        <w:spacing w:line="520" w:lineRule="exact"/>
        <w:ind w:firstLine="560" w:firstLineChars="200"/>
        <w:jc w:val="both"/>
        <w:rPr>
          <w:rFonts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  <w:t>说明：200字左右，阐述该评选项目的显著特点，可配图说明。</w:t>
      </w:r>
    </w:p>
    <w:p>
      <w:pPr>
        <w:widowControl w:val="0"/>
        <w:ind w:firstLine="0" w:firstLineChars="0"/>
        <w:jc w:val="both"/>
        <w:outlineLvl w:val="1"/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8"/>
          <w:szCs w:val="28"/>
          <w:lang w:val="en-US" w:eastAsia="zh-CN" w:bidi="ar-SA"/>
        </w:rPr>
        <w:t>五、应用成效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：</w:t>
      </w:r>
    </w:p>
    <w:p>
      <w:pPr>
        <w:widowControl w:val="0"/>
        <w:snapToGrid w:val="0"/>
        <w:spacing w:line="520" w:lineRule="exact"/>
        <w:ind w:firstLine="560" w:firstLineChars="200"/>
        <w:jc w:val="both"/>
        <w:rPr>
          <w:rFonts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  <w:t>说明：200字左右，阐述该项目实施后带来哪些显著性成果或未来能实现怎样的目标。可配图说明。</w:t>
      </w:r>
    </w:p>
    <w:p>
      <w:pPr>
        <w:widowControl w:val="0"/>
        <w:ind w:firstLine="0" w:firstLineChars="0"/>
        <w:jc w:val="both"/>
        <w:outlineLvl w:val="1"/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2"/>
          <w:sz w:val="28"/>
          <w:szCs w:val="28"/>
          <w:lang w:val="en-US" w:eastAsia="zh-Hans" w:bidi="ar-SA"/>
        </w:rPr>
        <w:t>六</w:t>
      </w:r>
      <w:r>
        <w:rPr>
          <w:rFonts w:hint="eastAsia" w:ascii="宋体" w:hAnsi="宋体" w:eastAsia="宋体" w:cs="Times New Roman"/>
          <w:b/>
          <w:bCs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="宋体" w:hAnsi="宋体" w:eastAsia="宋体" w:cs="Times New Roman"/>
          <w:b/>
          <w:bCs/>
          <w:kern w:val="2"/>
          <w:sz w:val="28"/>
          <w:szCs w:val="28"/>
          <w:lang w:val="en-US" w:eastAsia="zh-Hans" w:bidi="ar-SA"/>
        </w:rPr>
        <w:t>其他必要说明</w:t>
      </w:r>
    </w:p>
    <w:p>
      <w:pPr>
        <w:widowControl w:val="0"/>
        <w:snapToGrid w:val="0"/>
        <w:spacing w:line="520" w:lineRule="exact"/>
        <w:ind w:firstLine="560" w:firstLineChars="200"/>
        <w:jc w:val="both"/>
        <w:rPr>
          <w:rFonts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  <w:t>其他与案例阐述有关的说明，包括材料附件介绍、相关佐证数据、企业群众反馈信息等。</w:t>
      </w:r>
    </w:p>
    <w:p>
      <w:pPr>
        <w:widowControl w:val="0"/>
        <w:snapToGrid w:val="0"/>
        <w:spacing w:line="520" w:lineRule="exact"/>
        <w:ind w:firstLine="560" w:firstLineChars="200"/>
        <w:jc w:val="both"/>
        <w:rPr>
          <w:rFonts w:hint="eastAsia" w:ascii="宋体" w:hAnsi="宋体" w:eastAsia="宋体" w:cs="Times New Roman"/>
          <w:color w:val="0000FF"/>
          <w:kern w:val="2"/>
          <w:sz w:val="28"/>
          <w:szCs w:val="28"/>
          <w:lang w:val="en-US" w:eastAsia="zh-CN" w:bidi="ar-SA"/>
        </w:rPr>
      </w:pPr>
    </w:p>
    <w:p>
      <w:pPr>
        <w:widowControl w:val="0"/>
        <w:snapToGrid w:val="0"/>
        <w:spacing w:line="520" w:lineRule="exact"/>
        <w:ind w:firstLine="0" w:firstLineChars="0"/>
        <w:jc w:val="both"/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**如有相关问题，也可与评选活动咨询人员联系：</w:t>
      </w:r>
    </w:p>
    <w:p>
      <w:pPr>
        <w:widowControl w:val="0"/>
        <w:snapToGrid w:val="0"/>
        <w:spacing w:line="520" w:lineRule="exact"/>
        <w:ind w:firstLine="0" w:firstLineChars="0"/>
        <w:jc w:val="both"/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联系人：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Hans" w:bidi="ar-SA"/>
        </w:rPr>
        <w:t>付晓雯</w:t>
      </w: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t xml:space="preserve">   </w:t>
      </w:r>
    </w:p>
    <w:p>
      <w:pPr>
        <w:widowControl w:val="0"/>
        <w:snapToGrid w:val="0"/>
        <w:spacing w:line="520" w:lineRule="exact"/>
        <w:ind w:firstLine="0" w:firstLineChars="0"/>
        <w:jc w:val="both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电 话：</w:t>
      </w: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t>18332567261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 xml:space="preserve">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111281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黑体" w:hAnsi="宋体" w:eastAsia="黑体" w:cs="Times New Roman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-164465</wp:posOffset>
          </wp:positionV>
          <wp:extent cx="668020" cy="310515"/>
          <wp:effectExtent l="0" t="0" r="5080" b="6985"/>
          <wp:wrapNone/>
          <wp:docPr id="4" name="图片 4" descr="标识-智慧中国年会logo(彩色透明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标识-智慧中国年会logo(彩色透明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" cy="310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inorEastAsia" w:hAnsiTheme="minorEastAsia"/>
        <w:lang w:eastAsia="zh-Hans"/>
      </w:rPr>
      <w:t>第五届</w:t>
    </w:r>
    <w:r>
      <w:rPr>
        <w:rFonts w:asciiTheme="minorEastAsia" w:hAnsiTheme="minorEastAsia"/>
        <w:lang w:eastAsia="zh-Hans"/>
      </w:rPr>
      <w:t>(</w:t>
    </w:r>
    <w:r>
      <w:rPr>
        <w:rFonts w:hint="eastAsia" w:asciiTheme="minorEastAsia" w:hAnsiTheme="minorEastAsia"/>
      </w:rPr>
      <w:t>2022</w:t>
    </w:r>
    <w:r>
      <w:rPr>
        <w:rFonts w:hint="eastAsia" w:asciiTheme="minorEastAsia" w:hAnsiTheme="minorEastAsia"/>
        <w:lang w:eastAsia="zh-Hans"/>
      </w:rPr>
      <w:t>年</w:t>
    </w:r>
    <w:r>
      <w:rPr>
        <w:rFonts w:asciiTheme="minorEastAsia" w:hAnsiTheme="minorEastAsia"/>
      </w:rPr>
      <w:t>)</w:t>
    </w:r>
    <w:r>
      <w:rPr>
        <w:rFonts w:hint="eastAsia"/>
      </w:rPr>
      <w:t>营商环境高质量发展特色案例评选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3C7F0F"/>
    <w:multiLevelType w:val="singleLevel"/>
    <w:tmpl w:val="1E3C7F0F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7BDF657C"/>
    <w:rsid w:val="7BD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2022-10-17T09:16:00Z</dcterms:created>
  <dc:creator>秀儿</dc:creator>
  <cp:lastModifiedBy>秀儿</cp:lastModifiedBy>
  <dcterms:modified xsi:type="dcterms:W3CDTF">2022-10-17T09:27:55Z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E38532C2B709468AA4095C4E4CD43E2E</vt:lpwstr>
  </property>
</Properties>
</file>